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4" w:rsidRDefault="00AD1634">
      <w:pPr>
        <w:widowControl/>
        <w:spacing w:line="1" w:lineRule="exact"/>
        <w:rPr>
          <w:sz w:val="2"/>
          <w:szCs w:val="2"/>
        </w:rPr>
      </w:pPr>
      <w:r w:rsidRPr="00AD16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5pt;margin-top:0;width:285.85pt;height:188.65pt;z-index:251658240;mso-wrap-edited:f;mso-wrap-distance-left:7in;mso-wrap-distance-right:7in;mso-position-horizontal-relative:margin" filled="f" stroked="f">
            <v:textbox inset="0,0,0,0">
              <w:txbxContent>
                <w:p w:rsidR="00AD1634" w:rsidRDefault="008F746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29025" cy="2390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D1634" w:rsidRDefault="00AD1634">
      <w:pPr>
        <w:sectPr w:rsidR="00AD1634">
          <w:type w:val="continuous"/>
          <w:pgSz w:w="16837" w:h="23810"/>
          <w:pgMar w:top="6301" w:right="3220" w:bottom="856" w:left="3754" w:header="720" w:footer="720" w:gutter="0"/>
          <w:cols w:space="720"/>
          <w:noEndnote/>
        </w:sectPr>
      </w:pPr>
    </w:p>
    <w:p w:rsidR="00AD1634" w:rsidRDefault="00FA3A4C">
      <w:pPr>
        <w:pStyle w:val="Style15"/>
        <w:widowControl/>
        <w:spacing w:before="216" w:line="240" w:lineRule="auto"/>
        <w:ind w:left="1224"/>
        <w:jc w:val="both"/>
        <w:rPr>
          <w:rStyle w:val="FontStyle23"/>
        </w:rPr>
      </w:pPr>
      <w:r>
        <w:rPr>
          <w:rStyle w:val="FontStyle23"/>
        </w:rPr>
        <w:lastRenderedPageBreak/>
        <w:t>РЕШЕНИЕ О ВЫПУСКЕ ЦЕННЫХ БУМАГ</w:t>
      </w:r>
    </w:p>
    <w:p w:rsidR="00AD1634" w:rsidRDefault="00AD1634">
      <w:pPr>
        <w:pStyle w:val="Style15"/>
        <w:widowControl/>
        <w:spacing w:line="240" w:lineRule="exact"/>
        <w:ind w:left="1200" w:right="1291"/>
        <w:rPr>
          <w:sz w:val="20"/>
          <w:szCs w:val="20"/>
        </w:rPr>
      </w:pPr>
    </w:p>
    <w:p w:rsidR="00AD1634" w:rsidRDefault="00FA3A4C">
      <w:pPr>
        <w:pStyle w:val="Style15"/>
        <w:widowControl/>
        <w:spacing w:before="216"/>
        <w:ind w:left="1200" w:right="1291"/>
        <w:rPr>
          <w:rStyle w:val="FontStyle23"/>
        </w:rPr>
      </w:pPr>
      <w:r>
        <w:rPr>
          <w:rStyle w:val="FontStyle23"/>
        </w:rPr>
        <w:t>Открытое акционерное общество «Дирекция «</w:t>
      </w:r>
      <w:proofErr w:type="spellStart"/>
      <w:r>
        <w:rPr>
          <w:rStyle w:val="FontStyle23"/>
        </w:rPr>
        <w:t>Красноярскводмелиорация</w:t>
      </w:r>
      <w:proofErr w:type="spellEnd"/>
      <w:r>
        <w:rPr>
          <w:rStyle w:val="FontStyle23"/>
        </w:rPr>
        <w:t>»</w:t>
      </w:r>
    </w:p>
    <w:p w:rsidR="00AD1634" w:rsidRDefault="00AD1634">
      <w:pPr>
        <w:pStyle w:val="Style8"/>
        <w:widowControl/>
        <w:spacing w:line="240" w:lineRule="exact"/>
        <w:rPr>
          <w:sz w:val="20"/>
          <w:szCs w:val="20"/>
        </w:rPr>
      </w:pPr>
    </w:p>
    <w:p w:rsidR="00AD1634" w:rsidRDefault="00AD1634">
      <w:pPr>
        <w:pStyle w:val="Style8"/>
        <w:widowControl/>
        <w:spacing w:line="240" w:lineRule="exact"/>
        <w:rPr>
          <w:sz w:val="20"/>
          <w:szCs w:val="20"/>
        </w:rPr>
      </w:pPr>
    </w:p>
    <w:p w:rsidR="00AD1634" w:rsidRDefault="00FA3A4C" w:rsidP="008F746A">
      <w:pPr>
        <w:pStyle w:val="Style8"/>
        <w:widowControl/>
        <w:spacing w:before="67" w:line="274" w:lineRule="exact"/>
        <w:rPr>
          <w:rStyle w:val="FontStyle18"/>
        </w:rPr>
      </w:pPr>
      <w:r>
        <w:rPr>
          <w:rStyle w:val="FontStyle18"/>
        </w:rPr>
        <w:t>акции именные обыкновенные бездокументарные номинальной стоимостью 1000 (одна тысяча) рублей каждая в количестве 33 676 (тридцать три тысячи шестьсот семьдесят шесть) штук, способ размещения ценных бумаг - приобретение акций акционерного общества Российской Федерацией при преобразовании в акционерное общество государственного предприятия в процессе</w:t>
      </w:r>
      <w:r w:rsidR="008F746A">
        <w:rPr>
          <w:rStyle w:val="FontStyle18"/>
        </w:rPr>
        <w:t xml:space="preserve"> </w:t>
      </w:r>
      <w:r>
        <w:rPr>
          <w:rStyle w:val="FontStyle18"/>
        </w:rPr>
        <w:t>приватизации</w:t>
      </w: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</w:p>
    <w:p w:rsidR="00AD1634" w:rsidRDefault="00FA3A4C" w:rsidP="00247977">
      <w:pPr>
        <w:pStyle w:val="Style7"/>
        <w:widowControl/>
        <w:spacing w:before="192" w:line="422" w:lineRule="exact"/>
        <w:rPr>
          <w:rStyle w:val="FontStyle19"/>
        </w:rPr>
      </w:pPr>
      <w:proofErr w:type="gramStart"/>
      <w:r>
        <w:rPr>
          <w:rStyle w:val="FontStyle19"/>
        </w:rPr>
        <w:t>Утверждено решением Совета директоров, принятым 27 января 2009 года, протокол от 27 января 2009 года, № 1</w:t>
      </w:r>
      <w:r w:rsidR="00247977">
        <w:rPr>
          <w:rStyle w:val="FontStyle19"/>
        </w:rPr>
        <w:t xml:space="preserve"> </w:t>
      </w:r>
      <w:r>
        <w:rPr>
          <w:rStyle w:val="FontStyle19"/>
        </w:rPr>
        <w:t>на основании решения о преобразовании государственного унитарного предприятия Дирекция «</w:t>
      </w:r>
      <w:proofErr w:type="spellStart"/>
      <w:r>
        <w:rPr>
          <w:rStyle w:val="FontStyle19"/>
        </w:rPr>
        <w:t>Красноярскводмелиорация</w:t>
      </w:r>
      <w:proofErr w:type="spellEnd"/>
      <w:r>
        <w:rPr>
          <w:rStyle w:val="FontStyle19"/>
        </w:rPr>
        <w:t xml:space="preserve">» в открытое акционерное общество «Дирекция </w:t>
      </w:r>
      <w:proofErr w:type="spellStart"/>
      <w:r>
        <w:rPr>
          <w:rStyle w:val="FontStyle19"/>
        </w:rPr>
        <w:t>Красноярскводмелиорация</w:t>
      </w:r>
      <w:proofErr w:type="spellEnd"/>
      <w:r>
        <w:rPr>
          <w:rStyle w:val="FontStyle19"/>
        </w:rPr>
        <w:t>», принятого Территориальным управлением Федерального агентства по управлению федеральным имуществом по Красноярскому краю 29.12.2007г., Распоряжение от 29.12.2007г. № 07-2662р.</w:t>
      </w:r>
      <w:proofErr w:type="gramEnd"/>
    </w:p>
    <w:p w:rsidR="00AD1634" w:rsidRDefault="00AD1634">
      <w:pPr>
        <w:pStyle w:val="Style6"/>
        <w:widowControl/>
        <w:spacing w:line="240" w:lineRule="exact"/>
        <w:rPr>
          <w:sz w:val="20"/>
          <w:szCs w:val="20"/>
        </w:rPr>
      </w:pPr>
    </w:p>
    <w:p w:rsidR="00AD1634" w:rsidRDefault="00AD1634">
      <w:pPr>
        <w:pStyle w:val="Style6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6"/>
        <w:widowControl/>
        <w:spacing w:before="168" w:after="235" w:line="413" w:lineRule="exact"/>
        <w:rPr>
          <w:rStyle w:val="FontStyle19"/>
        </w:rPr>
      </w:pPr>
      <w:r>
        <w:rPr>
          <w:rStyle w:val="FontStyle19"/>
        </w:rPr>
        <w:t xml:space="preserve">Место нахождения эмитента и контактные телефоны с указанием </w:t>
      </w:r>
      <w:proofErr w:type="spellStart"/>
      <w:r>
        <w:rPr>
          <w:rStyle w:val="FontStyle19"/>
        </w:rPr>
        <w:t>международнего</w:t>
      </w:r>
      <w:proofErr w:type="spellEnd"/>
      <w:r>
        <w:rPr>
          <w:rStyle w:val="FontStyle19"/>
        </w:rPr>
        <w:t xml:space="preserve"> кода: </w:t>
      </w:r>
      <w:r>
        <w:rPr>
          <w:rStyle w:val="FontStyle24"/>
        </w:rPr>
        <w:t xml:space="preserve">660075. </w:t>
      </w:r>
      <w:r>
        <w:rPr>
          <w:rStyle w:val="FontStyle19"/>
        </w:rPr>
        <w:t xml:space="preserve">Российская Федерация, </w:t>
      </w:r>
      <w:proofErr w:type="gramStart"/>
      <w:r>
        <w:rPr>
          <w:rStyle w:val="FontStyle19"/>
        </w:rPr>
        <w:t>г</w:t>
      </w:r>
      <w:proofErr w:type="gramEnd"/>
      <w:r>
        <w:rPr>
          <w:rStyle w:val="FontStyle19"/>
        </w:rPr>
        <w:t xml:space="preserve">. Красноярск, ул. </w:t>
      </w:r>
      <w:proofErr w:type="spellStart"/>
      <w:r>
        <w:rPr>
          <w:rStyle w:val="FontStyle19"/>
        </w:rPr>
        <w:t>Маерчака</w:t>
      </w:r>
      <w:proofErr w:type="spellEnd"/>
      <w:r>
        <w:rPr>
          <w:rStyle w:val="FontStyle19"/>
        </w:rPr>
        <w:t>, 18 В. Тел. (8391)221-86-82</w:t>
      </w:r>
    </w:p>
    <w:p w:rsidR="00AD1634" w:rsidRDefault="00AD1634">
      <w:pPr>
        <w:pStyle w:val="Style6"/>
        <w:widowControl/>
        <w:spacing w:before="168" w:after="235" w:line="413" w:lineRule="exact"/>
        <w:rPr>
          <w:rStyle w:val="FontStyle19"/>
        </w:rPr>
        <w:sectPr w:rsidR="00AD1634">
          <w:type w:val="continuous"/>
          <w:pgSz w:w="16837" w:h="23810"/>
          <w:pgMar w:top="6301" w:right="3220" w:bottom="856" w:left="3754" w:header="720" w:footer="720" w:gutter="0"/>
          <w:cols w:space="60"/>
          <w:noEndnote/>
        </w:sectPr>
      </w:pP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  <w:r w:rsidRPr="00AD1634">
        <w:rPr>
          <w:noProof/>
        </w:rPr>
        <w:lastRenderedPageBreak/>
        <w:pict>
          <v:shape id="_x0000_s1027" type="#_x0000_t202" style="position:absolute;left:0;text-align:left;margin-left:158.9pt;margin-top:0;width:168.5pt;height:129.6pt;z-index:251659264;mso-wrap-edited:f;mso-wrap-distance-left:1.9pt;mso-wrap-distance-right:1.9pt;mso-position-horizontal-relative:margin" filled="f" stroked="f">
            <v:textbox inset="0,0,0,0">
              <w:txbxContent>
                <w:p w:rsidR="00AD1634" w:rsidRDefault="008F746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43125" cy="164782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D1634" w:rsidRDefault="00FA3A4C">
      <w:pPr>
        <w:pStyle w:val="Style7"/>
        <w:widowControl/>
        <w:spacing w:before="67" w:line="240" w:lineRule="auto"/>
        <w:rPr>
          <w:rStyle w:val="FontStyle19"/>
        </w:rPr>
      </w:pPr>
      <w:r>
        <w:rPr>
          <w:rStyle w:val="FontStyle19"/>
        </w:rPr>
        <w:t>Генеральный директор</w:t>
      </w: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</w:p>
    <w:p w:rsidR="00AD1634" w:rsidRDefault="00AD1634">
      <w:pPr>
        <w:pStyle w:val="Style7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7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>Дата 21 января 2009 года</w:t>
      </w: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247977" w:rsidRDefault="00247977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247977" w:rsidRDefault="00247977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8F746A" w:rsidRDefault="008F746A">
      <w:pPr>
        <w:pStyle w:val="Style10"/>
        <w:widowControl/>
        <w:spacing w:line="240" w:lineRule="exact"/>
        <w:jc w:val="both"/>
        <w:rPr>
          <w:rStyle w:val="FontStyle19"/>
        </w:rPr>
      </w:pPr>
    </w:p>
    <w:p w:rsidR="00AD1634" w:rsidRDefault="00FA3A4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9"/>
        </w:rPr>
        <w:br w:type="column"/>
      </w:r>
    </w:p>
    <w:p w:rsidR="00AD1634" w:rsidRDefault="00FA3A4C">
      <w:pPr>
        <w:pStyle w:val="Style10"/>
        <w:widowControl/>
        <w:spacing w:before="48" w:line="240" w:lineRule="auto"/>
        <w:jc w:val="both"/>
        <w:rPr>
          <w:rStyle w:val="FontStyle19"/>
        </w:rPr>
      </w:pPr>
      <w:r>
        <w:rPr>
          <w:rStyle w:val="FontStyle19"/>
        </w:rPr>
        <w:t xml:space="preserve">А.В. </w:t>
      </w:r>
      <w:proofErr w:type="spellStart"/>
      <w:r>
        <w:rPr>
          <w:rStyle w:val="FontStyle19"/>
        </w:rPr>
        <w:t>Савостиков</w:t>
      </w:r>
      <w:proofErr w:type="spellEnd"/>
    </w:p>
    <w:p w:rsidR="00AD1634" w:rsidRDefault="00AD1634">
      <w:pPr>
        <w:pStyle w:val="Style10"/>
        <w:widowControl/>
        <w:spacing w:before="48" w:line="240" w:lineRule="auto"/>
        <w:jc w:val="both"/>
        <w:rPr>
          <w:rStyle w:val="FontStyle19"/>
        </w:rPr>
        <w:sectPr w:rsidR="00AD1634">
          <w:type w:val="continuous"/>
          <w:pgSz w:w="16837" w:h="23810"/>
          <w:pgMar w:top="6301" w:right="3690" w:bottom="856" w:left="3754" w:header="720" w:footer="720" w:gutter="0"/>
          <w:cols w:num="2" w:space="720" w:equalWidth="0">
            <w:col w:w="2620" w:space="5088"/>
            <w:col w:w="1684"/>
          </w:cols>
          <w:noEndnote/>
        </w:sectPr>
      </w:pPr>
    </w:p>
    <w:p w:rsidR="00AD1634" w:rsidRDefault="00FA3A4C">
      <w:pPr>
        <w:pStyle w:val="Style10"/>
        <w:widowControl/>
        <w:tabs>
          <w:tab w:val="left" w:pos="235"/>
        </w:tabs>
        <w:spacing w:before="53" w:line="278" w:lineRule="exact"/>
        <w:ind w:right="5530"/>
        <w:rPr>
          <w:rStyle w:val="FontStyle19"/>
        </w:rPr>
      </w:pPr>
      <w:r>
        <w:rPr>
          <w:rStyle w:val="FontStyle19"/>
        </w:rPr>
        <w:lastRenderedPageBreak/>
        <w:t>1.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Вид, категория (тип) ценных бумаг</w:t>
      </w:r>
      <w:r>
        <w:rPr>
          <w:rStyle w:val="FontStyle19"/>
        </w:rPr>
        <w:br/>
        <w:t>акции именные обыкновенные</w:t>
      </w:r>
    </w:p>
    <w:p w:rsidR="00AD1634" w:rsidRDefault="00FA3A4C">
      <w:pPr>
        <w:pStyle w:val="Style11"/>
        <w:widowControl/>
        <w:ind w:right="5530"/>
        <w:rPr>
          <w:rStyle w:val="FontStyle19"/>
        </w:rPr>
      </w:pPr>
      <w:r>
        <w:rPr>
          <w:rStyle w:val="FontStyle20"/>
        </w:rPr>
        <w:t xml:space="preserve">Вид ценных бумаг: </w:t>
      </w:r>
      <w:r>
        <w:rPr>
          <w:rStyle w:val="FontStyle19"/>
        </w:rPr>
        <w:t xml:space="preserve">акции именные </w:t>
      </w:r>
      <w:r>
        <w:rPr>
          <w:rStyle w:val="FontStyle20"/>
        </w:rPr>
        <w:t xml:space="preserve">Категория: </w:t>
      </w:r>
      <w:r>
        <w:rPr>
          <w:rStyle w:val="FontStyle19"/>
        </w:rPr>
        <w:t>обыкновенные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53"/>
        <w:jc w:val="left"/>
        <w:rPr>
          <w:rStyle w:val="FontStyle20"/>
        </w:rPr>
      </w:pPr>
      <w:r>
        <w:rPr>
          <w:rStyle w:val="FontStyle20"/>
        </w:rPr>
        <w:t>2.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Форма ценных бумаг (</w:t>
      </w:r>
      <w:proofErr w:type="gramStart"/>
      <w:r>
        <w:rPr>
          <w:rStyle w:val="FontStyle20"/>
        </w:rPr>
        <w:t>бездокументарные</w:t>
      </w:r>
      <w:proofErr w:type="gramEnd"/>
      <w:r>
        <w:rPr>
          <w:rStyle w:val="FontStyle20"/>
        </w:rPr>
        <w:t>, документарные)</w:t>
      </w:r>
    </w:p>
    <w:p w:rsidR="00AD1634" w:rsidRDefault="00FA3A4C">
      <w:pPr>
        <w:pStyle w:val="Style1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бездокументарная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67"/>
        <w:jc w:val="left"/>
        <w:rPr>
          <w:rStyle w:val="FontStyle20"/>
        </w:rPr>
      </w:pPr>
      <w:r>
        <w:rPr>
          <w:rStyle w:val="FontStyle20"/>
        </w:rPr>
        <w:t>3.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Указание на обязательное централизованное хранение</w:t>
      </w:r>
    </w:p>
    <w:p w:rsidR="00AD1634" w:rsidRDefault="00FA3A4C">
      <w:pPr>
        <w:pStyle w:val="Style1"/>
        <w:widowControl/>
        <w:spacing w:before="14" w:line="240" w:lineRule="auto"/>
        <w:rPr>
          <w:rStyle w:val="FontStyle19"/>
        </w:rPr>
      </w:pPr>
      <w:r>
        <w:rPr>
          <w:rStyle w:val="FontStyle19"/>
        </w:rPr>
        <w:t>Не указывается для данного вида ценных бумаг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58"/>
        <w:jc w:val="left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Номинальная стоимость каждой ценной бумаги выпуска</w:t>
      </w:r>
    </w:p>
    <w:p w:rsidR="00AD1634" w:rsidRDefault="00FA3A4C">
      <w:pPr>
        <w:pStyle w:val="Style1"/>
        <w:widowControl/>
        <w:spacing w:before="24" w:line="240" w:lineRule="auto"/>
        <w:rPr>
          <w:rStyle w:val="FontStyle19"/>
        </w:rPr>
      </w:pPr>
      <w:r>
        <w:rPr>
          <w:rStyle w:val="FontStyle19"/>
        </w:rPr>
        <w:t>1 ООО (одна тысяча) рублей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62"/>
        <w:jc w:val="left"/>
        <w:rPr>
          <w:rStyle w:val="FontStyle20"/>
        </w:rPr>
      </w:pPr>
      <w:r>
        <w:rPr>
          <w:rStyle w:val="FontStyle20"/>
        </w:rPr>
        <w:t>5.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Количество ценных бумаг выпуска</w:t>
      </w:r>
    </w:p>
    <w:p w:rsidR="00AD1634" w:rsidRDefault="00FA3A4C">
      <w:pPr>
        <w:pStyle w:val="Style1"/>
        <w:widowControl/>
        <w:spacing w:before="14" w:line="240" w:lineRule="auto"/>
        <w:rPr>
          <w:rStyle w:val="FontStyle19"/>
        </w:rPr>
      </w:pPr>
      <w:r>
        <w:rPr>
          <w:rStyle w:val="FontStyle19"/>
        </w:rPr>
        <w:t>33 676 (тридцать три тысячи шестьсот семьдесят шесть) штук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62"/>
        <w:jc w:val="left"/>
        <w:rPr>
          <w:rStyle w:val="FontStyle20"/>
        </w:rPr>
      </w:pPr>
      <w:r>
        <w:rPr>
          <w:rStyle w:val="FontStyle20"/>
        </w:rPr>
        <w:t>6.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Общее количество ценных бумаг данного выпуска, размещенных ранее</w:t>
      </w:r>
    </w:p>
    <w:p w:rsidR="00AD1634" w:rsidRDefault="00FA3A4C">
      <w:pPr>
        <w:pStyle w:val="Style1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Не применяется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10" w:line="274" w:lineRule="exact"/>
        <w:jc w:val="left"/>
        <w:rPr>
          <w:rStyle w:val="FontStyle20"/>
        </w:rPr>
      </w:pPr>
      <w:r>
        <w:rPr>
          <w:rStyle w:val="FontStyle20"/>
        </w:rPr>
        <w:t>7.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Права владельца каждой ценной бумаги выпуска</w:t>
      </w:r>
    </w:p>
    <w:p w:rsidR="00AD1634" w:rsidRDefault="00FA3A4C">
      <w:pPr>
        <w:pStyle w:val="Style4"/>
        <w:widowControl/>
        <w:tabs>
          <w:tab w:val="left" w:pos="1157"/>
        </w:tabs>
        <w:spacing w:line="274" w:lineRule="exact"/>
        <w:rPr>
          <w:rStyle w:val="FontStyle20"/>
        </w:rPr>
      </w:pPr>
      <w:r>
        <w:rPr>
          <w:rStyle w:val="FontStyle20"/>
        </w:rPr>
        <w:t>7.1.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Для обыкновенных акций указываются точные положения устава</w:t>
      </w:r>
      <w:r>
        <w:rPr>
          <w:rStyle w:val="FontStyle20"/>
        </w:rPr>
        <w:br/>
        <w:t>акционерного общества о правах, предоставляемых акционерам обыкновенными</w:t>
      </w:r>
      <w:r>
        <w:rPr>
          <w:rStyle w:val="FontStyle20"/>
        </w:rPr>
        <w:br/>
        <w:t>акциями: о праве на получение объявленных дивидендов, о праве на участие в общем</w:t>
      </w:r>
      <w:r>
        <w:rPr>
          <w:rStyle w:val="FontStyle20"/>
        </w:rPr>
        <w:br/>
        <w:t>собрании акционеров с правом голоса по всем вопросам его компетенции, о праве на</w:t>
      </w:r>
      <w:r>
        <w:rPr>
          <w:rStyle w:val="FontStyle20"/>
        </w:rPr>
        <w:br/>
        <w:t>получение части имущества акционерного общества в случае его ликвидации.</w:t>
      </w:r>
    </w:p>
    <w:p w:rsidR="00AD1634" w:rsidRDefault="00FA3A4C">
      <w:pPr>
        <w:pStyle w:val="Style14"/>
        <w:widowControl/>
        <w:spacing w:line="274" w:lineRule="exact"/>
        <w:ind w:firstLine="0"/>
        <w:jc w:val="left"/>
        <w:rPr>
          <w:rStyle w:val="FontStyle19"/>
        </w:rPr>
      </w:pPr>
      <w:r>
        <w:rPr>
          <w:rStyle w:val="FontStyle20"/>
        </w:rPr>
        <w:t xml:space="preserve">Если уставом акционерного общества предусмотрено ограничение максимального числа голосов, принадлежащих одному акционеру, указывается такое ограничение, </w:t>
      </w:r>
      <w:r>
        <w:rPr>
          <w:rStyle w:val="FontStyle19"/>
        </w:rPr>
        <w:t>п. 8.1 Устава:</w:t>
      </w:r>
    </w:p>
    <w:p w:rsidR="00AD1634" w:rsidRDefault="00FA3A4C">
      <w:pPr>
        <w:pStyle w:val="Style13"/>
        <w:widowControl/>
        <w:spacing w:line="274" w:lineRule="exact"/>
        <w:ind w:left="566" w:firstLine="0"/>
        <w:jc w:val="left"/>
        <w:rPr>
          <w:rStyle w:val="FontStyle19"/>
        </w:rPr>
      </w:pPr>
      <w:r>
        <w:rPr>
          <w:rStyle w:val="FontStyle19"/>
        </w:rPr>
        <w:t>«Акционеры Общества - владельцы обыкновенных акций Общества имеют право:</w:t>
      </w:r>
    </w:p>
    <w:p w:rsidR="00AD1634" w:rsidRDefault="00FA3A4C">
      <w:pPr>
        <w:pStyle w:val="Style5"/>
        <w:widowControl/>
        <w:tabs>
          <w:tab w:val="left" w:pos="701"/>
        </w:tabs>
        <w:spacing w:line="274" w:lineRule="exac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участвовать в общем собрании акционеров Общества с правом голоса по вопросам его компетенции;</w:t>
      </w:r>
    </w:p>
    <w:p w:rsidR="00AD1634" w:rsidRDefault="00FA3A4C" w:rsidP="008F746A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566"/>
        <w:rPr>
          <w:rStyle w:val="FontStyle19"/>
        </w:rPr>
      </w:pPr>
      <w:r>
        <w:rPr>
          <w:rStyle w:val="FontStyle19"/>
        </w:rPr>
        <w:t>на получение дивидендов;</w:t>
      </w:r>
    </w:p>
    <w:p w:rsidR="00AD1634" w:rsidRDefault="00FA3A4C" w:rsidP="008F746A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566"/>
        <w:rPr>
          <w:rStyle w:val="FontStyle19"/>
        </w:rPr>
      </w:pPr>
      <w:r>
        <w:rPr>
          <w:rStyle w:val="FontStyle19"/>
        </w:rPr>
        <w:t>на получении части имущества Общества в случае его ликвидации /.../». Акционеры имеют также и иные права, предусмотренные уставом эмитента и</w:t>
      </w:r>
    </w:p>
    <w:p w:rsidR="00AD1634" w:rsidRDefault="00FA3A4C">
      <w:pPr>
        <w:pStyle w:val="Style1"/>
        <w:widowControl/>
        <w:spacing w:before="19" w:line="298" w:lineRule="exact"/>
        <w:rPr>
          <w:rStyle w:val="FontStyle19"/>
        </w:rPr>
      </w:pPr>
      <w:r>
        <w:rPr>
          <w:rStyle w:val="FontStyle19"/>
        </w:rPr>
        <w:t>действующим законодательством Российской Федерации.</w:t>
      </w:r>
    </w:p>
    <w:p w:rsidR="00AD1634" w:rsidRDefault="00FA3A4C">
      <w:pPr>
        <w:pStyle w:val="Style13"/>
        <w:widowControl/>
        <w:spacing w:before="10"/>
        <w:rPr>
          <w:rStyle w:val="FontStyle19"/>
        </w:rPr>
      </w:pPr>
      <w:r>
        <w:rPr>
          <w:rStyle w:val="FontStyle19"/>
        </w:rPr>
        <w:t>Ограничение максимального числа голосов, принадлежащих одному акционеру, уставом эмитента не предусмотрено.</w:t>
      </w:r>
    </w:p>
    <w:p w:rsidR="00AD1634" w:rsidRDefault="00AD1634">
      <w:pPr>
        <w:pStyle w:val="Style4"/>
        <w:widowControl/>
        <w:spacing w:line="240" w:lineRule="exact"/>
        <w:ind w:firstLine="538"/>
        <w:rPr>
          <w:sz w:val="20"/>
          <w:szCs w:val="20"/>
        </w:rPr>
      </w:pPr>
    </w:p>
    <w:p w:rsidR="00AD1634" w:rsidRDefault="00FA3A4C">
      <w:pPr>
        <w:pStyle w:val="Style4"/>
        <w:widowControl/>
        <w:tabs>
          <w:tab w:val="left" w:pos="1051"/>
        </w:tabs>
        <w:spacing w:before="29" w:line="274" w:lineRule="exact"/>
        <w:ind w:firstLine="538"/>
        <w:rPr>
          <w:rStyle w:val="FontStyle20"/>
        </w:rPr>
      </w:pPr>
      <w:r>
        <w:rPr>
          <w:rStyle w:val="FontStyle20"/>
        </w:rPr>
        <w:t>7.2.</w:t>
      </w:r>
      <w:r>
        <w:rPr>
          <w:rStyle w:val="FontStyle20"/>
          <w:b w:val="0"/>
          <w:bCs w:val="0"/>
          <w:sz w:val="20"/>
          <w:szCs w:val="20"/>
        </w:rPr>
        <w:tab/>
      </w:r>
      <w:proofErr w:type="gramStart"/>
      <w:r>
        <w:rPr>
          <w:rStyle w:val="FontStyle20"/>
        </w:rPr>
        <w:t>Для привилегированных акций указываются точные положения устава</w:t>
      </w:r>
      <w:r>
        <w:rPr>
          <w:rStyle w:val="FontStyle20"/>
        </w:rPr>
        <w:br/>
        <w:t>акционерного общества о правах, предоставляемых акционерам привилегированными</w:t>
      </w:r>
      <w:r>
        <w:rPr>
          <w:rStyle w:val="FontStyle20"/>
        </w:rPr>
        <w:br/>
        <w:t>акциями: о размере дивиденда и/или ликвидационной стоимости по</w:t>
      </w:r>
      <w:r>
        <w:rPr>
          <w:rStyle w:val="FontStyle20"/>
        </w:rPr>
        <w:br/>
        <w:t>привилегированным акциям, праве акционера на получение объявленных дивидендов,</w:t>
      </w:r>
      <w:r>
        <w:rPr>
          <w:rStyle w:val="FontStyle20"/>
        </w:rPr>
        <w:br/>
        <w:t>о праве акционера на участие в общем собрании акционеров с правом голоса по</w:t>
      </w:r>
      <w:r>
        <w:rPr>
          <w:rStyle w:val="FontStyle20"/>
        </w:rPr>
        <w:br/>
        <w:t>вопросам его компетенции в случаях, порядке и на условиях, установленных в</w:t>
      </w:r>
      <w:r>
        <w:rPr>
          <w:rStyle w:val="FontStyle20"/>
        </w:rPr>
        <w:br/>
        <w:t>соответствии с Федеральным законом «Об</w:t>
      </w:r>
      <w:proofErr w:type="gramEnd"/>
      <w:r>
        <w:rPr>
          <w:rStyle w:val="FontStyle20"/>
        </w:rPr>
        <w:t xml:space="preserve"> акционерных </w:t>
      </w:r>
      <w:proofErr w:type="gramStart"/>
      <w:r>
        <w:rPr>
          <w:rStyle w:val="FontStyle20"/>
        </w:rPr>
        <w:t>обществах</w:t>
      </w:r>
      <w:proofErr w:type="gramEnd"/>
      <w:r>
        <w:rPr>
          <w:rStyle w:val="FontStyle20"/>
        </w:rPr>
        <w:t>». При этом в</w:t>
      </w:r>
      <w:r>
        <w:rPr>
          <w:rStyle w:val="FontStyle20"/>
        </w:rPr>
        <w:br/>
        <w:t>случае, когда уставом акционерного общества предусмотрены привилегированные</w:t>
      </w:r>
      <w:r>
        <w:rPr>
          <w:rStyle w:val="FontStyle20"/>
        </w:rPr>
        <w:br/>
        <w:t>акции двух и более типов, по каждому из которых определен размер дивиденда и/или</w:t>
      </w:r>
      <w:r>
        <w:rPr>
          <w:rStyle w:val="FontStyle20"/>
        </w:rPr>
        <w:br/>
        <w:t>ликвидационная стоимость, указывается также очередность выплаты дивидендов</w:t>
      </w:r>
      <w:r>
        <w:rPr>
          <w:rStyle w:val="FontStyle20"/>
        </w:rPr>
        <w:br/>
        <w:t>и/или ликвидационной стоимости по каждому из них.</w:t>
      </w:r>
    </w:p>
    <w:p w:rsidR="00AD1634" w:rsidRDefault="00AD1634">
      <w:pPr>
        <w:pStyle w:val="Style4"/>
        <w:widowControl/>
        <w:tabs>
          <w:tab w:val="left" w:pos="1051"/>
        </w:tabs>
        <w:spacing w:before="29" w:line="274" w:lineRule="exact"/>
        <w:ind w:firstLine="538"/>
        <w:rPr>
          <w:rStyle w:val="FontStyle20"/>
        </w:rPr>
        <w:sectPr w:rsidR="00AD1634">
          <w:type w:val="continuous"/>
          <w:pgSz w:w="16837" w:h="23810"/>
          <w:pgMar w:top="5740" w:right="3520" w:bottom="1440" w:left="3674" w:header="720" w:footer="720" w:gutter="0"/>
          <w:cols w:space="60"/>
          <w:noEndnote/>
        </w:sectPr>
      </w:pPr>
    </w:p>
    <w:p w:rsidR="00AD1634" w:rsidRDefault="00FA3A4C">
      <w:pPr>
        <w:pStyle w:val="Style14"/>
        <w:widowControl/>
        <w:spacing w:before="53" w:line="269" w:lineRule="exact"/>
        <w:ind w:firstLine="533"/>
        <w:rPr>
          <w:rStyle w:val="FontStyle20"/>
        </w:rPr>
      </w:pPr>
      <w:r>
        <w:rPr>
          <w:rStyle w:val="FontStyle20"/>
        </w:rPr>
        <w:lastRenderedPageBreak/>
        <w:t>Если уставом акционерного общества предусмотрено ограничение максимального числа голосов, принадлежащих одному акционеру, указывается такое ограничение.</w:t>
      </w:r>
    </w:p>
    <w:p w:rsidR="00AD1634" w:rsidRDefault="00FA3A4C">
      <w:pPr>
        <w:pStyle w:val="Style1"/>
        <w:widowControl/>
        <w:spacing w:line="269" w:lineRule="exact"/>
        <w:ind w:left="542"/>
        <w:rPr>
          <w:rStyle w:val="FontStyle19"/>
        </w:rPr>
      </w:pPr>
      <w:r>
        <w:rPr>
          <w:rStyle w:val="FontStyle19"/>
        </w:rPr>
        <w:t>Не указывается для данной категории акций</w:t>
      </w:r>
    </w:p>
    <w:p w:rsidR="00AD1634" w:rsidRDefault="00AD1634">
      <w:pPr>
        <w:pStyle w:val="Style4"/>
        <w:widowControl/>
        <w:spacing w:line="240" w:lineRule="exact"/>
        <w:ind w:firstLine="528"/>
        <w:rPr>
          <w:sz w:val="20"/>
          <w:szCs w:val="20"/>
        </w:rPr>
      </w:pPr>
    </w:p>
    <w:p w:rsidR="00AD1634" w:rsidRDefault="00FA3A4C">
      <w:pPr>
        <w:pStyle w:val="Style4"/>
        <w:widowControl/>
        <w:tabs>
          <w:tab w:val="left" w:pos="931"/>
        </w:tabs>
        <w:spacing w:before="43" w:line="274" w:lineRule="exact"/>
        <w:ind w:firstLine="528"/>
        <w:rPr>
          <w:rStyle w:val="FontStyle20"/>
        </w:rPr>
      </w:pPr>
      <w:r>
        <w:rPr>
          <w:rStyle w:val="FontStyle20"/>
        </w:rPr>
        <w:t>7.3.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Для облигаций указывается право владельцев облигаций на получение от</w:t>
      </w:r>
      <w:r>
        <w:rPr>
          <w:rStyle w:val="FontStyle20"/>
        </w:rPr>
        <w:br/>
        <w:t>эмитента в предусмотренный ею срок номинальной стоимости облигации либо</w:t>
      </w:r>
      <w:r>
        <w:rPr>
          <w:rStyle w:val="FontStyle20"/>
        </w:rPr>
        <w:br/>
        <w:t>получения иного имущественного эквивалента, а также может быть указано право на</w:t>
      </w:r>
      <w:r>
        <w:rPr>
          <w:rStyle w:val="FontStyle20"/>
        </w:rPr>
        <w:br/>
        <w:t>получение процента от номинальной стоимости облигации либо иных имущественных</w:t>
      </w:r>
      <w:r>
        <w:rPr>
          <w:rStyle w:val="FontStyle20"/>
        </w:rPr>
        <w:br/>
        <w:t>прав.</w:t>
      </w:r>
    </w:p>
    <w:p w:rsidR="00AD1634" w:rsidRDefault="00FA3A4C">
      <w:pPr>
        <w:pStyle w:val="Style14"/>
        <w:widowControl/>
        <w:spacing w:line="274" w:lineRule="exact"/>
        <w:ind w:firstLine="528"/>
        <w:rPr>
          <w:rStyle w:val="FontStyle20"/>
        </w:rPr>
      </w:pPr>
      <w:r>
        <w:rPr>
          <w:rStyle w:val="FontStyle20"/>
        </w:rPr>
        <w:t>В случае предоставления обеспечения по облигациям выпуска указываются права владельцев облигаций, возникающие из такого обеспечения, в соответствии с условиями обеспечения, указанными в настоящем решении о выпуске облигаций, а также то, что с переходом прав на облигацию с обеспечением к новому владельцу (приобретателю) переходят все права, вытекающие из такого обеспечения. Указывается на то, что передача прав, возникших из предоставленного обеспечения, без передачи прав на облигацию является недействительной.</w:t>
      </w:r>
    </w:p>
    <w:p w:rsidR="00AD1634" w:rsidRDefault="00FA3A4C">
      <w:pPr>
        <w:pStyle w:val="Style1"/>
        <w:widowControl/>
        <w:spacing w:line="274" w:lineRule="exact"/>
        <w:ind w:left="538"/>
        <w:rPr>
          <w:rStyle w:val="FontStyle19"/>
        </w:rPr>
      </w:pPr>
      <w:r>
        <w:rPr>
          <w:rStyle w:val="FontStyle19"/>
        </w:rPr>
        <w:t>Не указывается для данного вида ценных бумаг.</w:t>
      </w:r>
    </w:p>
    <w:p w:rsidR="00AD1634" w:rsidRDefault="00FA3A4C">
      <w:pPr>
        <w:pStyle w:val="Style4"/>
        <w:widowControl/>
        <w:tabs>
          <w:tab w:val="left" w:pos="946"/>
        </w:tabs>
        <w:spacing w:before="125" w:line="274" w:lineRule="exact"/>
        <w:ind w:left="542" w:firstLine="0"/>
        <w:jc w:val="left"/>
        <w:rPr>
          <w:rStyle w:val="FontStyle20"/>
        </w:rPr>
      </w:pPr>
      <w:r>
        <w:rPr>
          <w:rStyle w:val="FontStyle20"/>
        </w:rPr>
        <w:t>7.4.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Для опционов эмитента указываются:</w:t>
      </w:r>
    </w:p>
    <w:p w:rsidR="00AD1634" w:rsidRDefault="00FA3A4C">
      <w:pPr>
        <w:pStyle w:val="Style14"/>
        <w:widowControl/>
        <w:spacing w:line="274" w:lineRule="exact"/>
        <w:ind w:firstLine="538"/>
        <w:rPr>
          <w:rStyle w:val="FontStyle20"/>
        </w:rPr>
      </w:pPr>
      <w:r>
        <w:rPr>
          <w:rStyle w:val="FontStyle20"/>
        </w:rPr>
        <w:t xml:space="preserve">категория (тип) акций, право на </w:t>
      </w:r>
      <w:proofErr w:type="gramStart"/>
      <w:r>
        <w:rPr>
          <w:rStyle w:val="FontStyle20"/>
        </w:rPr>
        <w:t>приобретение</w:t>
      </w:r>
      <w:proofErr w:type="gramEnd"/>
      <w:r>
        <w:rPr>
          <w:rStyle w:val="FontStyle20"/>
        </w:rPr>
        <w:t xml:space="preserve"> которых предоставляют опционы эмитента;</w:t>
      </w:r>
    </w:p>
    <w:p w:rsidR="00AD1634" w:rsidRDefault="00FA3A4C">
      <w:pPr>
        <w:pStyle w:val="Style14"/>
        <w:widowControl/>
        <w:spacing w:line="274" w:lineRule="exact"/>
        <w:ind w:firstLine="533"/>
        <w:rPr>
          <w:rStyle w:val="FontStyle20"/>
        </w:rPr>
      </w:pPr>
      <w:r>
        <w:rPr>
          <w:rStyle w:val="FontStyle20"/>
        </w:rPr>
        <w:t xml:space="preserve">количество акций каждой категории (типа), право на </w:t>
      </w:r>
      <w:proofErr w:type="gramStart"/>
      <w:r>
        <w:rPr>
          <w:rStyle w:val="FontStyle20"/>
        </w:rPr>
        <w:t>приобретение</w:t>
      </w:r>
      <w:proofErr w:type="gramEnd"/>
      <w:r>
        <w:rPr>
          <w:rStyle w:val="FontStyle20"/>
        </w:rPr>
        <w:t xml:space="preserve"> которых предоставляет каждый опцион эмитента;</w:t>
      </w:r>
    </w:p>
    <w:p w:rsidR="00AD1634" w:rsidRDefault="00FA3A4C">
      <w:pPr>
        <w:pStyle w:val="Style14"/>
        <w:widowControl/>
        <w:spacing w:line="274" w:lineRule="exact"/>
        <w:ind w:firstLine="533"/>
        <w:rPr>
          <w:rStyle w:val="FontStyle20"/>
        </w:rPr>
      </w:pPr>
      <w:r>
        <w:rPr>
          <w:rStyle w:val="FontStyle20"/>
        </w:rPr>
        <w:t>срок и/или обстоятельства, при наступлении которых могут быть осуществлены права владельца опциона эмитента;</w:t>
      </w:r>
    </w:p>
    <w:p w:rsidR="00AD1634" w:rsidRDefault="00FA3A4C">
      <w:pPr>
        <w:pStyle w:val="Style14"/>
        <w:widowControl/>
        <w:spacing w:line="274" w:lineRule="exact"/>
        <w:ind w:firstLine="538"/>
        <w:rPr>
          <w:rStyle w:val="FontStyle20"/>
        </w:rPr>
      </w:pPr>
      <w:r>
        <w:rPr>
          <w:rStyle w:val="FontStyle20"/>
        </w:rPr>
        <w:t>цена (порядок определения цены) приобретения акций владельцем опциона эмитента;</w:t>
      </w:r>
    </w:p>
    <w:p w:rsidR="00AD1634" w:rsidRDefault="00FA3A4C">
      <w:pPr>
        <w:pStyle w:val="Style14"/>
        <w:widowControl/>
        <w:spacing w:line="274" w:lineRule="exact"/>
        <w:ind w:firstLine="533"/>
        <w:rPr>
          <w:rStyle w:val="FontStyle20"/>
        </w:rPr>
      </w:pPr>
      <w:r>
        <w:rPr>
          <w:rStyle w:val="FontStyle20"/>
        </w:rPr>
        <w:t>порядок осуществления прав владельца опциона эмитента, в том числе срок (порядок определения срока) для заявления владельцем опциона требования о приобретении дополнительных акций эмитента, срок и порядок оплаты дополнительных акций владельцем опциона эмитента, срок конвертации опциона эмитента в дополнительные акции эмитента;</w:t>
      </w:r>
    </w:p>
    <w:p w:rsidR="00AD1634" w:rsidRDefault="00FA3A4C">
      <w:pPr>
        <w:pStyle w:val="Style14"/>
        <w:widowControl/>
        <w:spacing w:line="274" w:lineRule="exact"/>
        <w:ind w:firstLine="538"/>
        <w:rPr>
          <w:rStyle w:val="FontStyle20"/>
        </w:rPr>
      </w:pPr>
      <w:r>
        <w:rPr>
          <w:rStyle w:val="FontStyle20"/>
        </w:rPr>
        <w:t>положение о том, что право на приобретение акций эмитента осуществляется владельцем опциона эмитента путем его конвертации в дополнительные акции эмитента и реализуется только при условии полной оплаты таких дополнительных акций;</w:t>
      </w:r>
    </w:p>
    <w:p w:rsidR="00AD1634" w:rsidRDefault="00FA3A4C">
      <w:pPr>
        <w:pStyle w:val="Style14"/>
        <w:widowControl/>
        <w:spacing w:line="274" w:lineRule="exact"/>
        <w:ind w:firstLine="542"/>
        <w:rPr>
          <w:rStyle w:val="FontStyle20"/>
        </w:rPr>
      </w:pPr>
      <w:proofErr w:type="gramStart"/>
      <w:r>
        <w:rPr>
          <w:rStyle w:val="FontStyle20"/>
        </w:rPr>
        <w:t>положение о том, что в случае отсутствия оплаты или неполной оплаты дополнительных акций в установленный условиями опциона эмитента срок, такой опцион эмитента считается погашенным без возникновения каких-либо обязательств эмитента опциона перед их владельцем;</w:t>
      </w:r>
      <w:proofErr w:type="gramEnd"/>
    </w:p>
    <w:p w:rsidR="00AD1634" w:rsidRDefault="00FA3A4C">
      <w:pPr>
        <w:pStyle w:val="Style14"/>
        <w:widowControl/>
        <w:spacing w:line="274" w:lineRule="exact"/>
        <w:ind w:firstLine="533"/>
        <w:rPr>
          <w:rStyle w:val="FontStyle20"/>
        </w:rPr>
      </w:pPr>
      <w:r>
        <w:rPr>
          <w:rStyle w:val="FontStyle20"/>
        </w:rPr>
        <w:t>информация об ограничениях на обращение опционов эмитента или об отсутствии таковых.</w:t>
      </w:r>
    </w:p>
    <w:p w:rsidR="00AD1634" w:rsidRDefault="00FA3A4C">
      <w:pPr>
        <w:pStyle w:val="Style1"/>
        <w:widowControl/>
        <w:spacing w:line="274" w:lineRule="exact"/>
        <w:ind w:left="547"/>
        <w:rPr>
          <w:rStyle w:val="FontStyle19"/>
        </w:rPr>
      </w:pPr>
      <w:r>
        <w:rPr>
          <w:rStyle w:val="FontStyle19"/>
        </w:rPr>
        <w:t>Не указывается для данного вида ценных бумаг.</w:t>
      </w:r>
    </w:p>
    <w:p w:rsidR="00AD1634" w:rsidRDefault="00AD1634">
      <w:pPr>
        <w:pStyle w:val="Style4"/>
        <w:widowControl/>
        <w:spacing w:line="240" w:lineRule="exact"/>
        <w:ind w:firstLine="538"/>
        <w:rPr>
          <w:sz w:val="20"/>
          <w:szCs w:val="20"/>
        </w:rPr>
      </w:pPr>
    </w:p>
    <w:p w:rsidR="00AD1634" w:rsidRDefault="00FA3A4C">
      <w:pPr>
        <w:pStyle w:val="Style4"/>
        <w:widowControl/>
        <w:tabs>
          <w:tab w:val="left" w:pos="1037"/>
        </w:tabs>
        <w:spacing w:before="34" w:line="274" w:lineRule="exact"/>
        <w:ind w:firstLine="538"/>
        <w:rPr>
          <w:rStyle w:val="FontStyle20"/>
        </w:rPr>
      </w:pPr>
      <w:r>
        <w:rPr>
          <w:rStyle w:val="FontStyle20"/>
        </w:rPr>
        <w:t>7.5.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В случае если размещаемые ценные бумаги являются конвертируемыми</w:t>
      </w:r>
      <w:r>
        <w:rPr>
          <w:rStyle w:val="FontStyle20"/>
        </w:rPr>
        <w:br/>
        <w:t>ценными бумагами, также указываются категория (тип), номинальная стоимость и</w:t>
      </w:r>
      <w:r>
        <w:rPr>
          <w:rStyle w:val="FontStyle20"/>
        </w:rPr>
        <w:br/>
        <w:t>количество акций или серия и номинальная стоимость облигаций, в которые</w:t>
      </w:r>
      <w:r>
        <w:rPr>
          <w:rStyle w:val="FontStyle20"/>
        </w:rPr>
        <w:br/>
        <w:t>конвертируется каждая конвертируемая акция, облигация, права, предоставляемые</w:t>
      </w:r>
      <w:r>
        <w:rPr>
          <w:rStyle w:val="FontStyle20"/>
        </w:rPr>
        <w:br/>
        <w:t>акциями или облигациями, в которые они конвертируются, а также порядок и условия</w:t>
      </w:r>
      <w:r>
        <w:rPr>
          <w:rStyle w:val="FontStyle20"/>
        </w:rPr>
        <w:br/>
        <w:t>такой конвертации.</w:t>
      </w:r>
    </w:p>
    <w:p w:rsidR="00AD1634" w:rsidRDefault="00FA3A4C">
      <w:pPr>
        <w:pStyle w:val="Style1"/>
        <w:widowControl/>
        <w:spacing w:line="274" w:lineRule="exact"/>
        <w:jc w:val="center"/>
        <w:rPr>
          <w:rStyle w:val="FontStyle19"/>
        </w:rPr>
      </w:pPr>
      <w:r>
        <w:rPr>
          <w:rStyle w:val="FontStyle19"/>
        </w:rPr>
        <w:t>Не указывается, поскольку акции данного выпуска не являются конвертируемыми.</w:t>
      </w:r>
    </w:p>
    <w:p w:rsidR="00AD1634" w:rsidRDefault="00AD1634">
      <w:pPr>
        <w:pStyle w:val="Style11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11"/>
        <w:widowControl/>
        <w:spacing w:before="48" w:line="274" w:lineRule="exact"/>
        <w:rPr>
          <w:rStyle w:val="FontStyle20"/>
        </w:rPr>
      </w:pPr>
      <w:r>
        <w:rPr>
          <w:rStyle w:val="FontStyle20"/>
        </w:rPr>
        <w:t>8. Условия и порядок размещения ценных бумаг выпуска.</w:t>
      </w:r>
    </w:p>
    <w:p w:rsidR="008F746A" w:rsidRDefault="00FA3A4C">
      <w:pPr>
        <w:pStyle w:val="Style2"/>
        <w:widowControl/>
        <w:spacing w:line="274" w:lineRule="exact"/>
        <w:rPr>
          <w:rStyle w:val="FontStyle19"/>
        </w:rPr>
      </w:pPr>
      <w:r>
        <w:rPr>
          <w:rStyle w:val="FontStyle20"/>
        </w:rPr>
        <w:t xml:space="preserve">8.1. Способ размещения ценных бумаг: </w:t>
      </w:r>
      <w:r>
        <w:rPr>
          <w:rStyle w:val="FontStyle19"/>
        </w:rPr>
        <w:t xml:space="preserve">приобретение акций акционерного общества Российской Федерацией при преобразовании в акционерное общество государственного предприятия в процессе приватизации </w:t>
      </w:r>
    </w:p>
    <w:p w:rsidR="00AD1634" w:rsidRDefault="008F746A">
      <w:pPr>
        <w:pStyle w:val="Style2"/>
        <w:widowControl/>
        <w:spacing w:line="274" w:lineRule="exact"/>
        <w:rPr>
          <w:rStyle w:val="FontStyle20"/>
        </w:rPr>
      </w:pPr>
      <w:r>
        <w:rPr>
          <w:rStyle w:val="FontStyle20"/>
        </w:rPr>
        <w:t xml:space="preserve">8.2. </w:t>
      </w:r>
      <w:r w:rsidR="00FA3A4C">
        <w:rPr>
          <w:rStyle w:val="FontStyle20"/>
        </w:rPr>
        <w:t>Срок размещения ценных бумаг</w:t>
      </w:r>
    </w:p>
    <w:p w:rsidR="008F746A" w:rsidRDefault="00FA3A4C">
      <w:pPr>
        <w:pStyle w:val="Style6"/>
        <w:widowControl/>
        <w:spacing w:line="274" w:lineRule="exact"/>
        <w:rPr>
          <w:rStyle w:val="FontStyle19"/>
        </w:rPr>
      </w:pPr>
      <w:r>
        <w:rPr>
          <w:rStyle w:val="FontStyle20"/>
        </w:rPr>
        <w:t xml:space="preserve">Дата размещения ценных бумаг: </w:t>
      </w:r>
      <w:r>
        <w:rPr>
          <w:rStyle w:val="FontStyle19"/>
        </w:rPr>
        <w:t>26 ноября 2008 года - дата государственной регистрации ОАО &lt;• Дирекция «</w:t>
      </w:r>
      <w:proofErr w:type="spellStart"/>
      <w:r>
        <w:rPr>
          <w:rStyle w:val="FontStyle19"/>
        </w:rPr>
        <w:t>Красноярскводмелиорация</w:t>
      </w:r>
      <w:proofErr w:type="spellEnd"/>
      <w:r>
        <w:rPr>
          <w:rStyle w:val="FontStyle19"/>
        </w:rPr>
        <w:t xml:space="preserve">» </w:t>
      </w:r>
    </w:p>
    <w:p w:rsidR="00AD1634" w:rsidRDefault="008F746A">
      <w:pPr>
        <w:pStyle w:val="Style6"/>
        <w:widowControl/>
        <w:spacing w:line="274" w:lineRule="exact"/>
        <w:rPr>
          <w:rStyle w:val="FontStyle20"/>
        </w:rPr>
      </w:pPr>
      <w:r>
        <w:rPr>
          <w:rStyle w:val="FontStyle20"/>
        </w:rPr>
        <w:t xml:space="preserve">8.3. </w:t>
      </w:r>
      <w:r w:rsidR="00FA3A4C">
        <w:rPr>
          <w:rStyle w:val="FontStyle20"/>
        </w:rPr>
        <w:t>Порядок размещения ценных бумаг:</w:t>
      </w:r>
    </w:p>
    <w:p w:rsidR="008F746A" w:rsidRDefault="00FA3A4C" w:rsidP="008F746A">
      <w:pPr>
        <w:pStyle w:val="Style2"/>
        <w:widowControl/>
        <w:spacing w:line="274" w:lineRule="exact"/>
        <w:rPr>
          <w:rStyle w:val="FontStyle19"/>
        </w:rPr>
      </w:pPr>
      <w:r>
        <w:rPr>
          <w:rStyle w:val="FontStyle19"/>
        </w:rPr>
        <w:t>Все ценные бумаги данного выпуска размещены Российской Федерации в лице Федерального   агентства   по   управлению   государственным   имуществом   в   момент</w:t>
      </w:r>
      <w:r w:rsidR="008F746A">
        <w:rPr>
          <w:rStyle w:val="FontStyle19"/>
        </w:rPr>
        <w:t xml:space="preserve"> госу</w:t>
      </w:r>
      <w:r>
        <w:rPr>
          <w:rStyle w:val="FontStyle19"/>
        </w:rPr>
        <w:t xml:space="preserve">дарственной регистрации эмитента. </w:t>
      </w:r>
    </w:p>
    <w:p w:rsidR="00AD1634" w:rsidRDefault="008F746A" w:rsidP="008F746A">
      <w:pPr>
        <w:pStyle w:val="Style3"/>
        <w:widowControl/>
        <w:spacing w:line="274" w:lineRule="exact"/>
        <w:ind w:firstLine="0"/>
        <w:rPr>
          <w:rStyle w:val="FontStyle20"/>
        </w:rPr>
      </w:pPr>
      <w:r>
        <w:rPr>
          <w:rStyle w:val="FontStyle20"/>
        </w:rPr>
        <w:t>8.4</w:t>
      </w:r>
      <w:r w:rsidR="00FA3A4C">
        <w:rPr>
          <w:rStyle w:val="FontStyle20"/>
        </w:rPr>
        <w:t>. Источник собственных средств, за счет которых осуществляется формирование уставного капитала эмитента</w:t>
      </w:r>
    </w:p>
    <w:p w:rsidR="00AD1634" w:rsidRDefault="008F746A">
      <w:pPr>
        <w:pStyle w:val="Style2"/>
        <w:widowControl/>
        <w:spacing w:line="274" w:lineRule="exact"/>
        <w:rPr>
          <w:rStyle w:val="FontStyle19"/>
          <w:lang w:eastAsia="en-US"/>
        </w:rPr>
      </w:pPr>
      <w:r w:rsidRPr="008F746A">
        <w:rPr>
          <w:rStyle w:val="FontStyle18"/>
          <w:b w:val="0"/>
          <w:i w:val="0"/>
          <w:lang w:eastAsia="en-US"/>
        </w:rPr>
        <w:t>Формирование</w:t>
      </w:r>
      <w:r w:rsidR="00FA3A4C">
        <w:rPr>
          <w:rStyle w:val="FontStyle19"/>
          <w:lang w:eastAsia="en-US"/>
        </w:rPr>
        <w:t xml:space="preserve"> уставного капитала эмитента осуществлено за счет приватизации имущественного комплекса государственного унитарного предприятия Дирекция «</w:t>
      </w:r>
      <w:proofErr w:type="spellStart"/>
      <w:r>
        <w:rPr>
          <w:rStyle w:val="FontStyle19"/>
          <w:lang w:eastAsia="en-US"/>
        </w:rPr>
        <w:t>Красноярск</w:t>
      </w:r>
      <w:r w:rsidR="00FA3A4C">
        <w:rPr>
          <w:rStyle w:val="FontStyle19"/>
          <w:lang w:eastAsia="en-US"/>
        </w:rPr>
        <w:t>водмелиорация</w:t>
      </w:r>
      <w:proofErr w:type="spellEnd"/>
      <w:r w:rsidR="00FA3A4C">
        <w:rPr>
          <w:rStyle w:val="FontStyle19"/>
          <w:lang w:eastAsia="en-US"/>
        </w:rPr>
        <w:t xml:space="preserve">» в соответствии с Распоряжением Территориального управления Федерального агентства по управлению федеральным имуществом по Красноярскому краю об условиях приватизации государственного унитарного предприятия </w:t>
      </w:r>
      <w:r w:rsidRPr="008F746A">
        <w:rPr>
          <w:rStyle w:val="FontStyle18"/>
          <w:b w:val="0"/>
          <w:i w:val="0"/>
          <w:lang w:eastAsia="en-US"/>
        </w:rPr>
        <w:t>Дирекция</w:t>
      </w:r>
      <w:r w:rsidR="00FA3A4C" w:rsidRPr="008F746A">
        <w:rPr>
          <w:rStyle w:val="FontStyle17"/>
          <w:lang w:eastAsia="en-US"/>
        </w:rPr>
        <w:t xml:space="preserve"> </w:t>
      </w:r>
      <w:r>
        <w:rPr>
          <w:rStyle w:val="FontStyle17"/>
          <w:lang w:eastAsia="en-US"/>
        </w:rPr>
        <w:t>«</w:t>
      </w:r>
      <w:r w:rsidR="00FA3A4C" w:rsidRPr="008F746A">
        <w:rPr>
          <w:rStyle w:val="FontStyle17"/>
          <w:lang w:eastAsia="en-US"/>
        </w:rPr>
        <w:t xml:space="preserve"> </w:t>
      </w:r>
      <w:proofErr w:type="spellStart"/>
      <w:r w:rsidR="00FA3A4C">
        <w:rPr>
          <w:rStyle w:val="FontStyle19"/>
          <w:lang w:eastAsia="en-US"/>
        </w:rPr>
        <w:t>Красноярсводмелиорация</w:t>
      </w:r>
      <w:proofErr w:type="spellEnd"/>
      <w:r w:rsidR="00FA3A4C">
        <w:rPr>
          <w:rStyle w:val="FontStyle19"/>
          <w:lang w:eastAsia="en-US"/>
        </w:rPr>
        <w:t>» от 29.12.2007 г. № 07-2662р.</w:t>
      </w:r>
    </w:p>
    <w:p w:rsidR="00AD1634" w:rsidRDefault="00AD1634">
      <w:pPr>
        <w:pStyle w:val="Style11"/>
        <w:widowControl/>
        <w:spacing w:line="240" w:lineRule="exact"/>
        <w:rPr>
          <w:sz w:val="20"/>
          <w:szCs w:val="20"/>
        </w:rPr>
      </w:pPr>
    </w:p>
    <w:p w:rsidR="00AD1634" w:rsidRDefault="008F746A">
      <w:pPr>
        <w:pStyle w:val="Style11"/>
        <w:widowControl/>
        <w:spacing w:before="67" w:line="240" w:lineRule="auto"/>
        <w:rPr>
          <w:rStyle w:val="FontStyle20"/>
          <w:rFonts w:eastAsia="Arial Unicode MS"/>
        </w:rPr>
      </w:pPr>
      <w:r>
        <w:rPr>
          <w:rStyle w:val="FontStyle20"/>
        </w:rPr>
        <w:t xml:space="preserve">8.5. </w:t>
      </w:r>
      <w:r w:rsidR="00FA3A4C">
        <w:rPr>
          <w:rStyle w:val="FontStyle20"/>
          <w:spacing w:val="30"/>
        </w:rPr>
        <w:t>Цена</w:t>
      </w:r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(</w:t>
      </w:r>
      <w:r w:rsidR="00FA3A4C">
        <w:rPr>
          <w:rStyle w:val="FontStyle22"/>
        </w:rPr>
        <w:t xml:space="preserve"> </w:t>
      </w:r>
      <w:proofErr w:type="gramEnd"/>
      <w:r w:rsidR="00FA3A4C">
        <w:rPr>
          <w:rStyle w:val="FontStyle20"/>
          <w:rFonts w:eastAsia="Arial Unicode MS"/>
        </w:rPr>
        <w:t>цены) или порядок определения цены размещения одной ценной бумаги</w:t>
      </w:r>
    </w:p>
    <w:p w:rsidR="00AD1634" w:rsidRDefault="00FA3A4C">
      <w:pPr>
        <w:pStyle w:val="Style2"/>
        <w:widowControl/>
        <w:spacing w:before="19"/>
        <w:jc w:val="left"/>
        <w:rPr>
          <w:rStyle w:val="FontStyle19"/>
        </w:rPr>
      </w:pPr>
      <w:r>
        <w:rPr>
          <w:rStyle w:val="FontStyle19"/>
        </w:rPr>
        <w:t>Не указывается для данной формы реорганизации.</w:t>
      </w:r>
    </w:p>
    <w:p w:rsidR="00AD1634" w:rsidRDefault="00AD1634">
      <w:pPr>
        <w:pStyle w:val="Style11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11"/>
        <w:widowControl/>
        <w:spacing w:before="58" w:line="240" w:lineRule="auto"/>
        <w:rPr>
          <w:rStyle w:val="FontStyle20"/>
        </w:rPr>
      </w:pPr>
      <w:r w:rsidRPr="008F746A">
        <w:rPr>
          <w:rStyle w:val="FontStyle19"/>
          <w:b/>
        </w:rPr>
        <w:t>8.6.</w:t>
      </w:r>
      <w:r>
        <w:rPr>
          <w:rStyle w:val="FontStyle19"/>
        </w:rPr>
        <w:t xml:space="preserve"> </w:t>
      </w:r>
      <w:r>
        <w:rPr>
          <w:rStyle w:val="FontStyle20"/>
        </w:rPr>
        <w:t>Условия и порядок оплаты ценных бумаг.</w:t>
      </w:r>
    </w:p>
    <w:p w:rsidR="00AD1634" w:rsidRDefault="00FA3A4C">
      <w:pPr>
        <w:pStyle w:val="Style2"/>
        <w:widowControl/>
        <w:spacing w:before="14"/>
        <w:jc w:val="left"/>
        <w:rPr>
          <w:rStyle w:val="FontStyle19"/>
        </w:rPr>
      </w:pPr>
      <w:r>
        <w:rPr>
          <w:rStyle w:val="FontStyle19"/>
        </w:rPr>
        <w:t>Не указывается для данной формы реорганизации.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235"/>
        </w:tabs>
        <w:spacing w:before="67"/>
        <w:jc w:val="left"/>
        <w:rPr>
          <w:rStyle w:val="FontStyle20"/>
        </w:rPr>
      </w:pPr>
      <w:r>
        <w:rPr>
          <w:rStyle w:val="FontStyle20"/>
        </w:rPr>
        <w:t>9.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Условия погашения и выплаты доходов по облигациям</w:t>
      </w:r>
    </w:p>
    <w:p w:rsidR="00AD1634" w:rsidRDefault="00FA3A4C">
      <w:pPr>
        <w:pStyle w:val="Style2"/>
        <w:widowControl/>
        <w:spacing w:before="38"/>
        <w:jc w:val="left"/>
        <w:rPr>
          <w:rStyle w:val="FontStyle19"/>
        </w:rPr>
      </w:pPr>
      <w:r>
        <w:rPr>
          <w:rStyle w:val="FontStyle19"/>
        </w:rPr>
        <w:t>Данный пункт применяется только для облигаций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350"/>
        </w:tabs>
        <w:spacing w:before="106"/>
        <w:jc w:val="left"/>
        <w:rPr>
          <w:rStyle w:val="FontStyle20"/>
        </w:rPr>
      </w:pPr>
      <w:r>
        <w:rPr>
          <w:rStyle w:val="FontStyle20"/>
        </w:rPr>
        <w:t>10.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Сведения о приобретении облигаций</w:t>
      </w:r>
    </w:p>
    <w:p w:rsidR="00AD1634" w:rsidRDefault="00FA3A4C">
      <w:pPr>
        <w:pStyle w:val="Style2"/>
        <w:widowControl/>
        <w:spacing w:before="34"/>
        <w:jc w:val="left"/>
        <w:rPr>
          <w:rStyle w:val="FontStyle19"/>
        </w:rPr>
      </w:pPr>
      <w:r>
        <w:rPr>
          <w:rStyle w:val="FontStyle19"/>
        </w:rPr>
        <w:t>Данный пункт применяется только для облигаций</w:t>
      </w:r>
    </w:p>
    <w:p w:rsidR="00AD1634" w:rsidRDefault="00AD163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350"/>
        </w:tabs>
        <w:spacing w:before="72"/>
        <w:jc w:val="left"/>
        <w:rPr>
          <w:rStyle w:val="FontStyle20"/>
        </w:rPr>
      </w:pPr>
      <w:r>
        <w:rPr>
          <w:rStyle w:val="FontStyle20"/>
        </w:rPr>
        <w:t>11.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Сведения об обеспечении исполнения обязательств по облигациям выпуска</w:t>
      </w:r>
    </w:p>
    <w:p w:rsidR="00AD1634" w:rsidRDefault="00FA3A4C">
      <w:pPr>
        <w:pStyle w:val="Style2"/>
        <w:widowControl/>
        <w:spacing w:before="38"/>
        <w:jc w:val="left"/>
        <w:rPr>
          <w:rStyle w:val="FontStyle19"/>
        </w:rPr>
      </w:pPr>
      <w:r>
        <w:rPr>
          <w:rStyle w:val="FontStyle19"/>
        </w:rPr>
        <w:t>Данный пункт применяется только для облигаций</w:t>
      </w:r>
    </w:p>
    <w:p w:rsidR="00AD1634" w:rsidRDefault="00AD1634">
      <w:pPr>
        <w:pStyle w:val="Style12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494"/>
        </w:tabs>
        <w:spacing w:before="77" w:line="278" w:lineRule="exact"/>
        <w:rPr>
          <w:rStyle w:val="FontStyle20"/>
        </w:rPr>
      </w:pPr>
      <w:r>
        <w:rPr>
          <w:rStyle w:val="FontStyle20"/>
        </w:rPr>
        <w:t>12.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Обязательство эмитента обеспечить права владельцев ценных бумаг при</w:t>
      </w:r>
      <w:r>
        <w:rPr>
          <w:rStyle w:val="FontStyle20"/>
        </w:rPr>
        <w:br/>
        <w:t>соблюдении ими установленного законодательством Российской Федерации порядка</w:t>
      </w:r>
      <w:r>
        <w:rPr>
          <w:rStyle w:val="FontStyle20"/>
        </w:rPr>
        <w:br/>
        <w:t>осуществления этих прав.</w:t>
      </w:r>
    </w:p>
    <w:p w:rsidR="00AD1634" w:rsidRDefault="00FA3A4C">
      <w:pPr>
        <w:pStyle w:val="Style6"/>
        <w:widowControl/>
        <w:spacing w:line="278" w:lineRule="exact"/>
        <w:jc w:val="both"/>
        <w:rPr>
          <w:rStyle w:val="FontStyle19"/>
        </w:rPr>
      </w:pPr>
      <w:r>
        <w:rPr>
          <w:rStyle w:val="FontStyle19"/>
        </w:rPr>
        <w:t>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AD1634" w:rsidRDefault="00AD1634">
      <w:pPr>
        <w:pStyle w:val="Style12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494"/>
        </w:tabs>
        <w:spacing w:before="19" w:line="278" w:lineRule="exact"/>
        <w:rPr>
          <w:rStyle w:val="FontStyle20"/>
        </w:rPr>
      </w:pPr>
      <w:r>
        <w:rPr>
          <w:rStyle w:val="FontStyle20"/>
        </w:rPr>
        <w:t>13.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Обязательство лиц, представивших обеспечение по облигациям, обеспечить</w:t>
      </w:r>
      <w:r>
        <w:rPr>
          <w:rStyle w:val="FontStyle20"/>
        </w:rPr>
        <w:br/>
        <w:t>исполнение обязательств эмитента перед владельцами облигаций в случае отказа</w:t>
      </w:r>
      <w:r>
        <w:rPr>
          <w:rStyle w:val="FontStyle20"/>
        </w:rPr>
        <w:br/>
        <w:t>эмитента от исполнения обязательств либо просрочки исполнения соответствующих</w:t>
      </w:r>
      <w:r>
        <w:rPr>
          <w:rStyle w:val="FontStyle20"/>
        </w:rPr>
        <w:br/>
        <w:t>обязательств по облигациям, в соответствии с условиями предоставляемого</w:t>
      </w:r>
      <w:r>
        <w:rPr>
          <w:rStyle w:val="FontStyle20"/>
        </w:rPr>
        <w:br/>
        <w:t>обеспечения.</w:t>
      </w:r>
    </w:p>
    <w:p w:rsidR="00AD1634" w:rsidRDefault="00FA3A4C">
      <w:pPr>
        <w:pStyle w:val="Style2"/>
        <w:widowControl/>
        <w:spacing w:before="5" w:line="278" w:lineRule="exact"/>
        <w:jc w:val="left"/>
        <w:rPr>
          <w:rStyle w:val="FontStyle19"/>
        </w:rPr>
      </w:pPr>
      <w:r>
        <w:rPr>
          <w:rStyle w:val="FontStyle19"/>
        </w:rPr>
        <w:t>Данный пункт применяется только для облигаций</w:t>
      </w:r>
    </w:p>
    <w:p w:rsidR="00AD1634" w:rsidRDefault="00AD1634">
      <w:pPr>
        <w:pStyle w:val="Style12"/>
        <w:widowControl/>
        <w:spacing w:line="240" w:lineRule="exact"/>
        <w:rPr>
          <w:sz w:val="20"/>
          <w:szCs w:val="20"/>
        </w:rPr>
      </w:pPr>
    </w:p>
    <w:p w:rsidR="00AD1634" w:rsidRDefault="00FA3A4C">
      <w:pPr>
        <w:pStyle w:val="Style12"/>
        <w:widowControl/>
        <w:tabs>
          <w:tab w:val="left" w:pos="494"/>
        </w:tabs>
        <w:spacing w:before="77" w:line="278" w:lineRule="exact"/>
        <w:rPr>
          <w:rStyle w:val="FontStyle20"/>
        </w:rPr>
      </w:pPr>
      <w:r>
        <w:rPr>
          <w:rStyle w:val="FontStyle20"/>
        </w:rPr>
        <w:t>14.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Иные сведения, предусмотренные Стандартами эмиссии ценных бумаг и</w:t>
      </w:r>
      <w:r>
        <w:rPr>
          <w:rStyle w:val="FontStyle20"/>
        </w:rPr>
        <w:br/>
        <w:t>регистрации проспектов ценных бумаг.</w:t>
      </w:r>
    </w:p>
    <w:p w:rsidR="008F746A" w:rsidRDefault="00FA3A4C">
      <w:pPr>
        <w:pStyle w:val="Style2"/>
        <w:widowControl/>
        <w:spacing w:line="278" w:lineRule="exact"/>
        <w:jc w:val="left"/>
        <w:rPr>
          <w:rStyle w:val="FontStyle19"/>
        </w:rPr>
      </w:pPr>
      <w:r>
        <w:rPr>
          <w:rStyle w:val="FontStyle19"/>
        </w:rPr>
        <w:t>Иных сведений нет.</w:t>
      </w:r>
    </w:p>
    <w:sectPr w:rsidR="008F746A" w:rsidSect="00AD1634">
      <w:pgSz w:w="16837" w:h="23810"/>
      <w:pgMar w:top="3370" w:right="3467" w:bottom="1440" w:left="37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4C" w:rsidRDefault="00FA3A4C">
      <w:r>
        <w:separator/>
      </w:r>
    </w:p>
  </w:endnote>
  <w:endnote w:type="continuationSeparator" w:id="0">
    <w:p w:rsidR="00FA3A4C" w:rsidRDefault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4C" w:rsidRDefault="00FA3A4C">
      <w:r>
        <w:separator/>
      </w:r>
    </w:p>
  </w:footnote>
  <w:footnote w:type="continuationSeparator" w:id="0">
    <w:p w:rsidR="00FA3A4C" w:rsidRDefault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0F5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04CB0"/>
    <w:rsid w:val="00104CB0"/>
    <w:rsid w:val="00247977"/>
    <w:rsid w:val="008F746A"/>
    <w:rsid w:val="00AD1634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1634"/>
    <w:pPr>
      <w:spacing w:line="413" w:lineRule="exact"/>
    </w:pPr>
  </w:style>
  <w:style w:type="paragraph" w:customStyle="1" w:styleId="Style2">
    <w:name w:val="Style2"/>
    <w:basedOn w:val="a"/>
    <w:uiPriority w:val="99"/>
    <w:rsid w:val="00AD1634"/>
    <w:pPr>
      <w:jc w:val="both"/>
    </w:pPr>
  </w:style>
  <w:style w:type="paragraph" w:customStyle="1" w:styleId="Style3">
    <w:name w:val="Style3"/>
    <w:basedOn w:val="a"/>
    <w:uiPriority w:val="99"/>
    <w:rsid w:val="00AD1634"/>
    <w:pPr>
      <w:spacing w:line="278" w:lineRule="exact"/>
      <w:ind w:firstLine="240"/>
    </w:pPr>
  </w:style>
  <w:style w:type="paragraph" w:customStyle="1" w:styleId="Style4">
    <w:name w:val="Style4"/>
    <w:basedOn w:val="a"/>
    <w:uiPriority w:val="99"/>
    <w:rsid w:val="00AD1634"/>
    <w:pPr>
      <w:spacing w:line="277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AD1634"/>
    <w:pPr>
      <w:spacing w:line="283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AD1634"/>
  </w:style>
  <w:style w:type="paragraph" w:customStyle="1" w:styleId="Style7">
    <w:name w:val="Style7"/>
    <w:basedOn w:val="a"/>
    <w:uiPriority w:val="99"/>
    <w:rsid w:val="00AD1634"/>
    <w:pPr>
      <w:spacing w:line="418" w:lineRule="exact"/>
      <w:jc w:val="both"/>
    </w:pPr>
  </w:style>
  <w:style w:type="paragraph" w:customStyle="1" w:styleId="Style8">
    <w:name w:val="Style8"/>
    <w:basedOn w:val="a"/>
    <w:uiPriority w:val="99"/>
    <w:rsid w:val="00AD1634"/>
    <w:pPr>
      <w:spacing w:line="277" w:lineRule="exact"/>
      <w:jc w:val="center"/>
    </w:pPr>
  </w:style>
  <w:style w:type="paragraph" w:customStyle="1" w:styleId="Style9">
    <w:name w:val="Style9"/>
    <w:basedOn w:val="a"/>
    <w:uiPriority w:val="99"/>
    <w:rsid w:val="00AD1634"/>
  </w:style>
  <w:style w:type="paragraph" w:customStyle="1" w:styleId="Style10">
    <w:name w:val="Style10"/>
    <w:basedOn w:val="a"/>
    <w:uiPriority w:val="99"/>
    <w:rsid w:val="00AD1634"/>
    <w:pPr>
      <w:spacing w:line="283" w:lineRule="exact"/>
    </w:pPr>
  </w:style>
  <w:style w:type="paragraph" w:customStyle="1" w:styleId="Style11">
    <w:name w:val="Style11"/>
    <w:basedOn w:val="a"/>
    <w:uiPriority w:val="99"/>
    <w:rsid w:val="00AD1634"/>
    <w:pPr>
      <w:spacing w:line="278" w:lineRule="exact"/>
    </w:pPr>
  </w:style>
  <w:style w:type="paragraph" w:customStyle="1" w:styleId="Style12">
    <w:name w:val="Style12"/>
    <w:basedOn w:val="a"/>
    <w:uiPriority w:val="99"/>
    <w:rsid w:val="00AD1634"/>
    <w:pPr>
      <w:jc w:val="both"/>
    </w:pPr>
  </w:style>
  <w:style w:type="paragraph" w:customStyle="1" w:styleId="Style13">
    <w:name w:val="Style13"/>
    <w:basedOn w:val="a"/>
    <w:uiPriority w:val="99"/>
    <w:rsid w:val="00AD1634"/>
    <w:pPr>
      <w:spacing w:line="298" w:lineRule="exact"/>
      <w:ind w:firstLine="566"/>
      <w:jc w:val="both"/>
    </w:pPr>
  </w:style>
  <w:style w:type="paragraph" w:customStyle="1" w:styleId="Style14">
    <w:name w:val="Style14"/>
    <w:basedOn w:val="a"/>
    <w:uiPriority w:val="99"/>
    <w:rsid w:val="00AD1634"/>
    <w:pPr>
      <w:spacing w:line="276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AD1634"/>
    <w:pPr>
      <w:spacing w:line="408" w:lineRule="exact"/>
      <w:jc w:val="center"/>
    </w:pPr>
  </w:style>
  <w:style w:type="character" w:customStyle="1" w:styleId="FontStyle17">
    <w:name w:val="Font Style17"/>
    <w:basedOn w:val="a0"/>
    <w:uiPriority w:val="99"/>
    <w:rsid w:val="00AD163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AD16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AD163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D16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D1634"/>
    <w:rPr>
      <w:rFonts w:ascii="Times New Roman" w:hAnsi="Times New Roman" w:cs="Times New Roman"/>
      <w:b/>
      <w:bCs/>
      <w:i/>
      <w:iCs/>
      <w:spacing w:val="-10"/>
      <w:sz w:val="44"/>
      <w:szCs w:val="44"/>
    </w:rPr>
  </w:style>
  <w:style w:type="character" w:customStyle="1" w:styleId="FontStyle22">
    <w:name w:val="Font Style22"/>
    <w:basedOn w:val="a0"/>
    <w:uiPriority w:val="99"/>
    <w:rsid w:val="00AD163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AD1634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4">
    <w:name w:val="Font Style24"/>
    <w:basedOn w:val="a0"/>
    <w:uiPriority w:val="99"/>
    <w:rsid w:val="00AD163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Юрист</cp:lastModifiedBy>
  <cp:revision>2</cp:revision>
  <dcterms:created xsi:type="dcterms:W3CDTF">2012-08-20T05:07:00Z</dcterms:created>
  <dcterms:modified xsi:type="dcterms:W3CDTF">2012-08-20T06:57:00Z</dcterms:modified>
</cp:coreProperties>
</file>